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BodyTextIndent"/>
        <w:keepNext/>
        <w:keepLines/>
        <w:tabs>
          <w:tab w:val="num" w:pos="567" w:leader="none"/>
          <w:tab w:val="num" w:pos="1134" w:leader="none"/>
        </w:tabs>
        <w:spacing w:after="0"/>
        <w:ind w:left="0"/>
        <w:jc w:val="center"/>
        <w:outlineLvl w:val="0"/>
        <w:rPr>
          <w:b/>
          <w:bCs/>
          <w:i/>
        </w:rPr>
      </w:pPr>
      <w:r>
        <w:rPr>
          <w:b/>
          <w:snapToGrid w:val="0"/>
        </w:rPr>
        <w:t xml:space="preserve">Технические требования к поставляемой продукции</w:t>
      </w:r>
      <w:r>
        <w:rPr>
          <w:b/>
          <w:bCs/>
          <w:i/>
        </w:rPr>
        <w:t xml:space="preserve">.</w:t>
      </w:r>
    </w:p>
    <w:p>
      <w:pPr>
        <w:pStyle w:val="BodyTextIndent"/>
        <w:keepNext/>
        <w:keepLines/>
        <w:tabs>
          <w:tab w:val="num" w:pos="567" w:leader="none"/>
          <w:tab w:val="num" w:pos="1134" w:leader="none"/>
        </w:tabs>
        <w:spacing w:after="0"/>
        <w:ind w:left="0"/>
        <w:jc w:val="center"/>
        <w:outlineLvl w:val="0"/>
        <w:rPr>
          <w:b/>
          <w:bCs/>
          <w:i/>
        </w:rPr>
      </w:pPr>
      <w:r>
        <w:rPr>
          <w:b/>
          <w:bCs/>
          <w:i/>
        </w:rPr>
      </w:r>
    </w:p>
    <w:p>
      <w:pPr>
        <w:pStyle w:val="BodyTextIndent"/>
        <w:keepNext/>
        <w:keepLines/>
        <w:numPr>
          <w:numId w:val="4"/>
          <w:ilvl w:val="0"/>
        </w:numPr>
        <w:tabs>
          <w:tab w:val="left" w:pos="426" w:leader="none"/>
          <w:tab w:val="left" w:pos="1134" w:leader="none"/>
        </w:tabs>
        <w:spacing w:after="0"/>
        <w:ind w:left="0" w:firstLine="567"/>
        <w:jc w:val="both"/>
        <w:outlineLvl w:val="1"/>
        <w:rPr>
          <w:b/>
          <w:snapToGrid w:val="0"/>
        </w:rPr>
      </w:pPr>
      <w:bookmarkStart w:id="0" w:name="_Toc369165827"/>
      <w:bookmarkStart w:id="1" w:name="_Toc369600082"/>
      <w:bookmarkStart w:id="2" w:name="_Toc369600237"/>
      <w:bookmarkStart w:id="3" w:name="_Toc369601964"/>
      <w:bookmarkStart w:id="4" w:name="_Toc512257143"/>
      <w:r>
        <w:rPr>
          <w:b/>
          <w:snapToGrid w:val="0"/>
        </w:rPr>
        <w:t xml:space="preserve">Общие требования</w:t>
      </w:r>
      <w:bookmarkEnd w:id="0"/>
      <w:bookmarkEnd w:id="1"/>
      <w:bookmarkEnd w:id="2"/>
      <w:bookmarkEnd w:id="3"/>
      <w:bookmarkEnd w:id="4"/>
      <w:r>
        <w:rPr>
          <w:b/>
          <w:snapToGrid w:val="0"/>
        </w:rPr>
        <w:t xml:space="preserve">:</w:t>
      </w:r>
    </w:p>
    <w:p>
      <w:pPr>
        <w:pStyle w:val="Normal"/>
        <w:keepNext/>
        <w:keepLines/>
        <w:ind w:firstLine="567"/>
        <w:jc w:val="both"/>
      </w:pPr>
      <w:r>
        <w:t xml:space="preserve">1.</w:t>
      </w:r>
      <w:r>
        <w:t xml:space="preserve">1</w:t>
      </w:r>
      <w:r>
        <w:t xml:space="preserve">. Участник должен принять во внимание, что ссылки на </w:t>
      </w:r>
      <w:r>
        <w:t xml:space="preserve">параметры и характеристики Товара</w:t>
      </w:r>
      <w:r>
        <w:t xml:space="preserve"> носят обязательный характер и указывают на требуемые технические характеристики </w:t>
      </w:r>
      <w:r>
        <w:t xml:space="preserve">товара</w:t>
      </w:r>
      <w:r>
        <w:t xml:space="preserve">. Участник может предложить иные типы </w:t>
      </w:r>
      <w:r>
        <w:t xml:space="preserve">товара</w:t>
      </w:r>
      <w:r>
        <w:t xml:space="preserve">, при условии, что произведенные замены по существу равноценны </w:t>
      </w:r>
      <w:r>
        <w:t xml:space="preserve">и удовлетворяют требованиям Параметров аналогичности</w:t>
      </w:r>
      <w:r>
        <w:t xml:space="preserve">, указанн</w:t>
      </w:r>
      <w:r>
        <w:t xml:space="preserve">ых</w:t>
      </w:r>
      <w:r>
        <w:t xml:space="preserve"> в Техническом задании (Спецификации).</w:t>
      </w:r>
    </w:p>
    <w:p>
      <w:pPr>
        <w:pStyle w:val="Normal"/>
        <w:keepNext/>
        <w:keepLines/>
      </w:pPr>
    </w:p>
    <w:p>
      <w:pPr>
        <w:pStyle w:val="Heading2"/>
        <w:keepLines/>
        <w:numPr>
          <w:numId w:val="4"/>
          <w:ilvl w:val="0"/>
        </w:numPr>
        <w:tabs>
          <w:tab w:val="left" w:pos="1134" w:leader="none"/>
        </w:tabs>
        <w:spacing w:before="0" w:after="0"/>
        <w:ind w:hanging="2133"/>
        <w:jc w:val="both"/>
        <w:rPr>
          <w:i w:val="0"/>
          <w:sz w:val="24"/>
          <w:szCs w:val="24"/>
        </w:rPr>
      </w:pPr>
      <w:bookmarkStart w:id="5" w:name="_Toc369164197"/>
      <w:bookmarkEnd w:id="5"/>
      <w:bookmarkStart w:id="6" w:name="_Toc369165109"/>
      <w:bookmarkEnd w:id="6"/>
      <w:bookmarkStart w:id="7" w:name="_Toc369165173"/>
      <w:bookmarkEnd w:id="7"/>
      <w:bookmarkStart w:id="8" w:name="_Toc369165315"/>
      <w:bookmarkEnd w:id="8"/>
      <w:bookmarkStart w:id="9" w:name="_Toc369165776"/>
      <w:bookmarkEnd w:id="9"/>
      <w:bookmarkStart w:id="10" w:name="_Toc369165828"/>
      <w:bookmarkEnd w:id="10"/>
      <w:bookmarkStart w:id="11" w:name="_Toc369164198"/>
      <w:bookmarkEnd w:id="11"/>
      <w:bookmarkStart w:id="12" w:name="_Toc369165110"/>
      <w:bookmarkEnd w:id="12"/>
      <w:bookmarkStart w:id="13" w:name="_Toc369165174"/>
      <w:bookmarkEnd w:id="13"/>
      <w:bookmarkStart w:id="14" w:name="_Toc369165316"/>
      <w:bookmarkEnd w:id="14"/>
      <w:bookmarkStart w:id="15" w:name="_Toc369165777"/>
      <w:bookmarkEnd w:id="15"/>
      <w:bookmarkStart w:id="16" w:name="_Toc369165829"/>
      <w:bookmarkEnd w:id="16"/>
      <w:bookmarkStart w:id="17" w:name="_Toc369164199"/>
      <w:bookmarkEnd w:id="17"/>
      <w:bookmarkStart w:id="18" w:name="_Toc369165111"/>
      <w:bookmarkEnd w:id="18"/>
      <w:bookmarkStart w:id="19" w:name="_Toc369165175"/>
      <w:bookmarkEnd w:id="19"/>
      <w:bookmarkStart w:id="20" w:name="_Toc369165317"/>
      <w:bookmarkEnd w:id="20"/>
      <w:bookmarkStart w:id="21" w:name="_Toc369165778"/>
      <w:bookmarkEnd w:id="21"/>
      <w:bookmarkStart w:id="22" w:name="_Toc369165830"/>
      <w:bookmarkEnd w:id="22"/>
      <w:bookmarkStart w:id="23" w:name="_Toc369164096"/>
      <w:r>
        <w:rPr>
          <w:bCs w:val="0"/>
          <w:i w:val="0"/>
          <w:sz w:val="24"/>
          <w:szCs w:val="24"/>
        </w:rPr>
        <w:t xml:space="preserve">Требования к поставляемо</w:t>
      </w:r>
      <w:r>
        <w:rPr>
          <w:bCs w:val="0"/>
          <w:i w:val="0"/>
          <w:sz w:val="24"/>
          <w:szCs w:val="24"/>
        </w:rPr>
        <w:t xml:space="preserve">му</w:t>
      </w:r>
      <w:r>
        <w:rPr>
          <w:bCs w:val="0"/>
          <w:i w:val="0"/>
          <w:sz w:val="24"/>
          <w:szCs w:val="24"/>
        </w:rPr>
        <w:t xml:space="preserve"> </w:t>
      </w:r>
      <w:r>
        <w:rPr>
          <w:bCs w:val="0"/>
          <w:i w:val="0"/>
          <w:sz w:val="24"/>
          <w:szCs w:val="24"/>
        </w:rPr>
        <w:t xml:space="preserve">товару</w:t>
      </w:r>
      <w:r>
        <w:rPr>
          <w:bCs w:val="0"/>
          <w:i w:val="0"/>
          <w:sz w:val="24"/>
          <w:szCs w:val="24"/>
        </w:rPr>
        <w:t xml:space="preserve">:</w:t>
      </w:r>
      <w:bookmarkEnd w:id="23"/>
      <w:r>
        <w:rPr>
          <w:i w:val="0"/>
          <w:sz w:val="24"/>
          <w:szCs w:val="24"/>
        </w:rPr>
      </w:r>
    </w:p>
    <w:p>
      <w:pPr>
        <w:pStyle w:val="179"/>
        <w:keepNext/>
        <w:keepLines/>
        <w:numPr>
          <w:numId w:val="4"/>
          <w:ilvl w:val="1"/>
        </w:numPr>
        <w:ind w:left="0" w:firstLine="567"/>
        <w:jc w:val="both"/>
      </w:pPr>
      <w:r>
        <w:t xml:space="preserve">Поставляем</w:t>
      </w:r>
      <w:r>
        <w:t xml:space="preserve">ый</w:t>
      </w:r>
      <w:r>
        <w:t xml:space="preserve"> </w:t>
      </w:r>
      <w:r>
        <w:t xml:space="preserve">товар</w:t>
      </w:r>
      <w:r>
        <w:t xml:space="preserve"> долж</w:t>
      </w:r>
      <w:r>
        <w:t xml:space="preserve">ен быть новым</w:t>
      </w:r>
      <w:r>
        <w:t xml:space="preserve">, неиспользованн</w:t>
      </w:r>
      <w:r>
        <w:t xml:space="preserve">ым</w:t>
      </w:r>
      <w:r>
        <w:t xml:space="preserve">, соответствовать</w:t>
      </w:r>
      <w:r>
        <w:t xml:space="preserve"> Техническому заданию,</w:t>
      </w:r>
      <w:r>
        <w:t xml:space="preserve"> ГОСТам и ТУ, что должно быть подтверждено соответствующими документами.</w:t>
      </w:r>
    </w:p>
    <w:p>
      <w:pPr>
        <w:pStyle w:val="179"/>
        <w:keepNext/>
        <w:keepLines/>
        <w:numPr>
          <w:numId w:val="4"/>
          <w:ilvl w:val="1"/>
        </w:numPr>
        <w:tabs>
          <w:tab w:val="left" w:pos="1134" w:leader="none"/>
        </w:tabs>
        <w:ind w:left="0" w:firstLine="567"/>
        <w:jc w:val="both"/>
      </w:pPr>
      <w:r>
        <w:t xml:space="preserve">Товар должен</w:t>
      </w:r>
      <w:r>
        <w:t xml:space="preserve"> иметь гарантийный срок эксплуатации.</w:t>
      </w:r>
    </w:p>
    <w:p>
      <w:pPr>
        <w:pStyle w:val="179"/>
        <w:keepNext/>
        <w:keepLines/>
        <w:tabs>
          <w:tab w:val="left" w:pos="1134" w:leader="none"/>
        </w:tabs>
        <w:ind w:left="567"/>
        <w:rPr>
          <w:strike/>
        </w:rPr>
      </w:pPr>
      <w:r>
        <w:t xml:space="preserve">2.3. </w:t>
      </w:r>
      <w:r>
        <w:t xml:space="preserve">Участник </w:t>
      </w:r>
      <w:r>
        <w:t xml:space="preserve">закупки</w:t>
      </w:r>
      <w:r>
        <w:t xml:space="preserve"> в составе </w:t>
      </w:r>
      <w:r>
        <w:t xml:space="preserve">Заявки</w:t>
      </w:r>
      <w:r>
        <w:t xml:space="preserve"> должен предоставить</w:t>
      </w:r>
      <w:r>
        <w:t xml:space="preserve">:</w:t>
        <w:br w:type="textWrapping" w:clear="all"/>
      </w:r>
      <w:r>
        <w:t xml:space="preserve">2.3.1. Для автотранспортных средств</w:t>
      </w:r>
      <w:r>
        <w:rPr>
          <w:strike/>
        </w:rPr>
      </w:r>
    </w:p>
    <w:p>
      <w:pPr>
        <w:pStyle w:val="179"/>
        <w:keepNext/>
        <w:keepLines/>
        <w:tabs>
          <w:tab w:val="left" w:pos="1134" w:leader="none"/>
        </w:tabs>
        <w:ind w:left="0" w:firstLine="567"/>
        <w:jc w:val="both"/>
      </w:pPr>
      <w:r>
        <w:t xml:space="preserve">-</w:t>
      </w:r>
      <w:r>
        <w:t xml:space="preserve"> </w:t>
      </w:r>
      <w:r>
        <w:t xml:space="preserve">копию Одобрения типа транспортного средства (ОТТС) на Товар о соответствии требованиям технического регламента Таможенного союза "О безопасности колесных транспортных средств" (ТР ТС 018/2011);</w:t>
      </w:r>
    </w:p>
    <w:p>
      <w:pPr>
        <w:pStyle w:val="179"/>
        <w:keepNext/>
        <w:keepLines/>
        <w:tabs>
          <w:tab w:val="left" w:pos="1134" w:leader="none"/>
        </w:tabs>
        <w:ind w:left="0" w:firstLine="567"/>
        <w:jc w:val="both"/>
      </w:pPr>
      <w:r>
        <w:t xml:space="preserve">- </w:t>
      </w:r>
      <w:r>
        <w:t xml:space="preserve">копию Свидетельства о безопасности конструкции транспортного средства (СБКТС) для транспортного средства, изготовленного в условиях серийного производства, в конструкцию которого в индивидуальном порядке были внесены изменения до выпуска в обращение.</w:t>
      </w:r>
    </w:p>
    <w:p>
      <w:pPr>
        <w:pStyle w:val="179"/>
        <w:keepNext/>
        <w:keepLines/>
        <w:tabs>
          <w:tab w:val="left" w:pos="1134" w:leader="none"/>
        </w:tabs>
        <w:ind w:left="0" w:firstLine="567"/>
        <w:jc w:val="both"/>
      </w:pPr>
      <w:r>
        <w:t xml:space="preserve">В особых случаях, при единичном производстве Товара</w:t>
      </w:r>
      <w:r>
        <w:t xml:space="preserve">, а также отсутствии серийного производства аналогичного Товара другими производителями</w:t>
      </w:r>
      <w:r>
        <w:t xml:space="preserve">, допускается предоставление </w:t>
      </w:r>
      <w:r>
        <w:t xml:space="preserve">СБКТС на момент поставки Товара</w:t>
      </w:r>
      <w:r>
        <w:t xml:space="preserve"> (пункт применим, если поставщик не является производителем товара, и товар будет изготовлен по индивидуальному заказу).</w:t>
      </w:r>
      <w:r>
        <w:t xml:space="preserve"> При этом Участник, в целях подтверждения возможности поставки Товара в соответствии с заявленными требованиями, в составе Заявке должен приложить Технические спецификации.</w:t>
      </w:r>
    </w:p>
    <w:p>
      <w:pPr>
        <w:pStyle w:val="179"/>
        <w:keepNext/>
        <w:keepLines/>
        <w:tabs>
          <w:tab w:val="left" w:pos="1134" w:leader="none"/>
        </w:tabs>
        <w:ind w:left="0" w:firstLine="567"/>
        <w:jc w:val="both"/>
      </w:pPr>
      <w:r>
        <w:t xml:space="preserve">- копию Сертификатов соответствия на произведённые и установленные на транспортные средства надстройки,</w:t>
      </w:r>
      <w:r>
        <w:rPr>
          <w:sz w:val="26"/>
          <w:szCs w:val="26"/>
        </w:rPr>
        <w:t xml:space="preserve"> </w:t>
      </w:r>
      <w:r>
        <w:t xml:space="preserve">о соответствии требованиям ТР ТС «О безопасности машин и оборудования» (ТР ТС 010/2011) (при необходимости).</w:t>
      </w:r>
    </w:p>
    <w:p>
      <w:pPr>
        <w:pStyle w:val="179"/>
        <w:keepNext/>
        <w:keepLines/>
        <w:tabs>
          <w:tab w:val="left" w:pos="1134" w:leader="none"/>
        </w:tabs>
        <w:ind w:left="0" w:firstLine="567"/>
        <w:jc w:val="both"/>
      </w:pPr>
      <w:r>
        <w:t xml:space="preserve">2.3.2.</w:t>
      </w:r>
      <w:r>
        <w:t xml:space="preserve"> Для </w:t>
      </w:r>
      <w:r>
        <w:t xml:space="preserve">самоходных </w:t>
      </w:r>
      <w:r>
        <w:t xml:space="preserve">машин</w:t>
      </w:r>
      <w:r>
        <w:t xml:space="preserve">:</w:t>
      </w:r>
    </w:p>
    <w:p>
      <w:pPr>
        <w:pStyle w:val="179"/>
        <w:keepNext/>
        <w:keepLines/>
        <w:tabs>
          <w:tab w:val="left" w:pos="1134" w:leader="none"/>
        </w:tabs>
        <w:ind w:left="0" w:firstLine="567"/>
        <w:jc w:val="both"/>
      </w:pPr>
      <w:r>
        <w:t xml:space="preserve">- Декларацию соответствия о соответствии требованиям Технического регламента Таможенного союза «О безопасности машин и оборудования» (ТР ТС 010/2011).</w:t>
      </w:r>
    </w:p>
    <w:p>
      <w:pPr>
        <w:pStyle w:val="179"/>
        <w:keepNext/>
        <w:keepLines/>
        <w:tabs>
          <w:tab w:val="left" w:pos="1134" w:leader="none"/>
        </w:tabs>
        <w:ind w:left="0" w:firstLine="567"/>
        <w:jc w:val="both"/>
      </w:pPr>
      <w:r>
        <w:t xml:space="preserve">2.3.3. Иные документы в соответствии с требованиями</w:t>
      </w:r>
      <w:r>
        <w:t xml:space="preserve">,</w:t>
      </w:r>
      <w:r>
        <w:t xml:space="preserve"> указанными в Технической спецификации на поставку.</w:t>
      </w:r>
    </w:p>
    <w:p>
      <w:pPr>
        <w:pStyle w:val="Normal"/>
        <w:keepNext/>
        <w:keepLines/>
        <w:tabs>
          <w:tab w:val="left" w:pos="1134" w:leader="none"/>
        </w:tabs>
        <w:ind w:firstLine="567"/>
        <w:jc w:val="both"/>
      </w:pPr>
      <w:r>
        <w:t xml:space="preserve">2.</w:t>
      </w:r>
      <w:r>
        <w:t xml:space="preserve">4</w:t>
      </w:r>
      <w:r>
        <w:t xml:space="preserve">. Основные технические требования к поставляемо</w:t>
      </w:r>
      <w:r>
        <w:t xml:space="preserve">му товару</w:t>
      </w:r>
      <w:r>
        <w:t xml:space="preserve"> изложены в Техническом задании Заказчика (при наличии).</w:t>
      </w:r>
    </w:p>
    <w:sectPr>
      <w:type w:val="nextPage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mbria">
    <w:panose1 w:val="02040503050406030204"/>
  </w:font>
  <w:font w:name="Times New Roman">
    <w:panose1 w:val="02020603050405020304"/>
  </w:font>
  <w:font w:name="Calibri">
    <w:panose1 w:val="020F0502020204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suff w:val="tab"/>
      <w:lvlText w:val="2.2.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1">
    <w:multiLevelType w:val="hybridMultilevel"/>
    <w:lvl w:ilvl="0">
      <w:start w:val="1"/>
      <w:numFmt w:val="decimal"/>
      <w:suff w:val="tab"/>
      <w:lvlText w:val="2.1.%1."/>
      <w:lvlJc w:val="left"/>
      <w:pPr>
        <w:pStyle w:val="Normal"/>
        <w:ind w:left="1080" w:hanging="360"/>
      </w:pPr>
      <w:rPr>
        <w:i w:val="0"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2700" w:hanging="36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2700" w:hanging="360"/>
      </w:pPr>
    </w:lvl>
    <w:lvl w:ilvl="2">
      <w:start w:val="1"/>
      <w:numFmt w:val="decimal"/>
      <w:suff w:val="tab"/>
      <w:lvlText w:val="%1.%2.%3."/>
      <w:lvlJc w:val="left"/>
      <w:pPr>
        <w:pStyle w:val="Normal"/>
        <w:ind w:left="3060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ind w:left="3060" w:hanging="72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342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3420" w:hanging="108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3780" w:hanging="144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3780" w:hanging="144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4140" w:hanging="1800"/>
      </w:pPr>
    </w:lvl>
  </w:abstractNum>
  <w:abstractNum w:abstractNumId="3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2700" w:leader="none"/>
        </w:tabs>
        <w:ind w:left="2700" w:hanging="360"/>
      </w:pPr>
      <w:rPr>
        <w:i w:val="0"/>
      </w:rPr>
    </w:lvl>
    <w:lvl w:ilvl="1">
      <w:start w:val="1"/>
      <w:numFmt w:val="decimal"/>
      <w:suff w:val="tab"/>
      <w:lvlText w:val="%1.%2."/>
      <w:lvlJc w:val="left"/>
      <w:pPr>
        <w:pStyle w:val="Normal"/>
        <w:ind w:left="2700" w:hanging="360"/>
      </w:pPr>
    </w:lvl>
    <w:lvl w:ilvl="2">
      <w:start w:val="1"/>
      <w:numFmt w:val="decimal"/>
      <w:suff w:val="tab"/>
      <w:lvlText w:val="%1.%2.%3."/>
      <w:lvlJc w:val="left"/>
      <w:pPr>
        <w:pStyle w:val="Normal"/>
        <w:ind w:left="3060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ind w:left="3060" w:hanging="72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342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3420" w:hanging="108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3780" w:hanging="144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3780" w:hanging="144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4140" w:hanging="180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rPr>
      <w:rFonts w:ascii="Times New Roman" w:hAnsi="Times New Roman" w:eastAsia="Times New Roman"/>
      <w:sz w:val="24"/>
      <w:szCs w:val="24"/>
      <w:lang w:val="ru-RU" w:eastAsia="ru-RU" w:bidi="ar-SA"/>
    </w:rPr>
  </w:style>
  <w:style w:type="paragraph" w:styleId="Heading2">
    <w:name w:val="Заголовок 2"/>
    <w:basedOn w:val="Normal"/>
    <w:next w:val="Normal"/>
    <w:link w:val="UserStyle_0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styleId="NormalCharacter">
    <w:name w:val="Основной шрифт абзаца"/>
    <w:next w:val="NormalCharacter"/>
    <w:link w:val="Normal"/>
    <w:uiPriority w:val="1"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  <w:qFormat/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character" w:styleId="UserStyle_0">
    <w:name w:val="Заголовок 2 Знак"/>
    <w:next w:val="UserStyle_0"/>
    <w:link w:val="Heading2"/>
    <w:rPr>
      <w:rFonts w:ascii="Cambria" w:hAnsi="Cambria" w:eastAsia="Times New Roman" w:cs="Cambria"/>
      <w:b/>
      <w:bCs/>
      <w:i/>
      <w:iCs/>
      <w:sz w:val="28"/>
      <w:szCs w:val="28"/>
      <w:lang w:eastAsia="ru-RU"/>
    </w:rPr>
  </w:style>
  <w:style w:type="paragraph" w:styleId="BodyTextIndent">
    <w:name w:val="Основной текст с отступом"/>
    <w:basedOn w:val="Normal"/>
    <w:next w:val="BodyTextIndent"/>
    <w:link w:val="UserStyle_1"/>
    <w:uiPriority w:val="99"/>
    <w:semiHidden/>
    <w:unhideWhenUsed/>
    <w:pPr>
      <w:spacing w:after="120"/>
      <w:ind w:left="283"/>
    </w:pPr>
  </w:style>
  <w:style w:type="character" w:styleId="UserStyle_1">
    <w:name w:val="Основной текст с отступом Знак"/>
    <w:next w:val="UserStyle_1"/>
    <w:link w:val="BodyTextIndent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UserStyle_2">
    <w:name w:val="Times 12"/>
    <w:basedOn w:val="Normal"/>
    <w:next w:val="UserStyle_2"/>
    <w:link w:val="Normal"/>
    <w:pPr>
      <w:ind w:firstLine="567"/>
      <w:jc w:val="both"/>
    </w:pPr>
    <w:rPr>
      <w:bCs/>
      <w:szCs w:val="22"/>
    </w:rPr>
  </w:style>
  <w:style w:type="paragraph" w:styleId="179">
    <w:name w:val="Абзац списка"/>
    <w:basedOn w:val="Normal"/>
    <w:next w:val="179"/>
    <w:link w:val="Normal"/>
    <w:uiPriority w:val="34"/>
    <w:qFormat/>
    <w:pPr>
      <w:ind w:left="720"/>
      <w:contextualSpacing/>
    </w:pPr>
  </w:style>
  <w:style w:type="character" w:styleId="AnnotationReference">
    <w:name w:val="Знак примечания"/>
    <w:next w:val="AnnotationReference"/>
    <w:link w:val="Normal"/>
    <w:uiPriority w:val="99"/>
    <w:semiHidden/>
    <w:unhideWhenUsed/>
    <w:rPr>
      <w:sz w:val="16"/>
      <w:szCs w:val="16"/>
    </w:rPr>
  </w:style>
  <w:style w:type="paragraph" w:styleId="AnnotationText">
    <w:name w:val="Текст примечания"/>
    <w:basedOn w:val="Normal"/>
    <w:next w:val="AnnotationText"/>
    <w:link w:val="UserStyle_3"/>
    <w:uiPriority w:val="99"/>
    <w:semiHidden/>
    <w:unhideWhenUsed/>
    <w:rPr>
      <w:sz w:val="20"/>
      <w:szCs w:val="20"/>
    </w:rPr>
  </w:style>
  <w:style w:type="character" w:styleId="UserStyle_3">
    <w:name w:val="Текст примечания Знак"/>
    <w:next w:val="UserStyle_3"/>
    <w:link w:val="AnnotationText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Тема примечания"/>
    <w:basedOn w:val="AnnotationText"/>
    <w:next w:val="AnnotationText"/>
    <w:link w:val="UserStyle_4"/>
    <w:uiPriority w:val="99"/>
    <w:semiHidden/>
    <w:unhideWhenUsed/>
    <w:rPr>
      <w:b/>
      <w:bCs/>
    </w:rPr>
  </w:style>
  <w:style w:type="character" w:styleId="UserStyle_4">
    <w:name w:val="Тема примечания Знак"/>
    <w:next w:val="UserStyle_4"/>
    <w:link w:val="AnnotationSubject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Acetate">
    <w:name w:val="Текст выноски"/>
    <w:basedOn w:val="Normal"/>
    <w:next w:val="Acetate"/>
    <w:link w:val="UserStyle_5"/>
    <w:uiPriority w:val="99"/>
    <w:semiHidden/>
    <w:unhideWhenUsed/>
    <w:rPr>
      <w:rFonts w:ascii="Tahoma" w:hAnsi="Tahoma" w:cs="Tahoma"/>
      <w:sz w:val="16"/>
      <w:szCs w:val="16"/>
    </w:rPr>
  </w:style>
  <w:style w:type="character" w:styleId="UserStyle_5">
    <w:name w:val="Текст выноски Знак"/>
    <w:next w:val="UserStyle_5"/>
    <w:link w:val="Acetate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Hyperlink">
    <w:name w:val="Гиперссылка"/>
    <w:next w:val="Hyperlink"/>
    <w:link w:val="Normal"/>
    <w:uiPriority w:val="99"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haracters>2003</Characters>
  <CharactersWithSpaces>2350</CharactersWithSpaces>
  <Company>MOESK</Company>
  <DocSecurity>0</DocSecurity>
  <HyperlinksChanged>false</HyperlinksChanged>
  <Lines>16</Lines>
  <Pages>1</Pages>
  <Paragraphs>4</Paragraphs>
  <ScaleCrop>false</ScaleCrop>
  <SharedDoc>false</SharedDoc>
  <Template>Normal.dotm</Template>
  <Words>351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fedotychevavs</cp:lastModifiedBy>
  <cp:revision>6</cp:revision>
  <dcterms:created xsi:type="dcterms:W3CDTF">2024-11-05T11:02:00Z</dcterms:created>
  <dcterms:modified xsi:type="dcterms:W3CDTF">2025-03-11T05:41:00Z</dcterms:modified>
  <cp:version>1048576</cp:version>
</cp:coreProperties>
</file>